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C2" w:rsidRDefault="00A860C2" w:rsidP="00A860C2">
      <w:pPr>
        <w:ind w:left="91" w:right="91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sz w:val="28"/>
          <w:szCs w:val="28"/>
          <w:lang w:eastAsia="en-US"/>
        </w:rPr>
        <w:t>Record of</w:t>
      </w:r>
      <w:r w:rsidR="00480BA3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>
        <w:rPr>
          <w:rFonts w:ascii="Tahoma" w:eastAsia="Calibri" w:hAnsi="Tahoma" w:cs="Tahoma"/>
          <w:b/>
          <w:sz w:val="28"/>
          <w:szCs w:val="28"/>
          <w:lang w:eastAsia="en-US"/>
        </w:rPr>
        <w:t>Mentor Session</w:t>
      </w:r>
    </w:p>
    <w:p w:rsidR="00A860C2" w:rsidRDefault="00A860C2" w:rsidP="00A860C2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2637"/>
        <w:gridCol w:w="692"/>
        <w:gridCol w:w="694"/>
        <w:gridCol w:w="814"/>
      </w:tblGrid>
      <w:tr w:rsidR="00A860C2" w:rsidTr="00A860C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A1" w:rsidRDefault="000D14A1" w:rsidP="000D14A1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Trainee:</w:t>
            </w:r>
          </w:p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0D14A1" w:rsidP="000D14A1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Days absent:</w:t>
            </w:r>
            <w:bookmarkEnd w:id="0"/>
          </w:p>
        </w:tc>
      </w:tr>
      <w:tr w:rsidR="00A860C2" w:rsidTr="00A860C2"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                  Reflections on Training Plan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jc w:val="center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C"/>
            </w:r>
            <w:r>
              <w:rPr>
                <w:rFonts w:ascii="Tahoma" w:eastAsia="Calibri" w:hAnsi="Tahoma" w:cs="Tahoma"/>
                <w:sz w:val="28"/>
                <w:szCs w:val="28"/>
                <w:lang w:eastAsia="en-US"/>
              </w:rPr>
              <w:t xml:space="preserve"> or </w:t>
            </w:r>
            <w:r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A860C2" w:rsidTr="00A860C2">
        <w:trPr>
          <w:trHeight w:val="183"/>
        </w:trPr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Completed by Graduate Teacher prior to meeting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860C2" w:rsidTr="00A860C2"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Discussed with Subject Mentor at meeting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860C2" w:rsidTr="00A860C2">
        <w:tc>
          <w:tcPr>
            <w:tcW w:w="8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Pr="001E739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Areas of success </w:t>
            </w:r>
            <w:r w:rsidR="00480BA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this week 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and the </w:t>
            </w:r>
            <w:r w:rsidR="00D90D0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evidence for success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 Include targets and actions met from previous mentor session and training plan. (1 must relate</w:t>
            </w:r>
            <w:r w:rsidR="00480BA3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to subject knowledge</w:t>
            </w:r>
            <w:r w:rsidR="00D0193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/refer to Development Log Book</w:t>
            </w:r>
            <w:r w:rsidR="00480BA3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)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:rsidR="00480BA3" w:rsidRPr="001E7392" w:rsidRDefault="00D90D0A" w:rsidP="00480BA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  <w:p w:rsidR="00D90D0A" w:rsidRPr="00480BA3" w:rsidRDefault="00D90D0A" w:rsidP="00D90D0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480BA3" w:rsidRDefault="00D90D0A" w:rsidP="00480BA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  <w:p w:rsidR="00D90D0A" w:rsidRDefault="00D90D0A" w:rsidP="00D90D0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A860C2" w:rsidP="00A07C5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A860C2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Stds</w:t>
            </w:r>
            <w:proofErr w:type="spellEnd"/>
          </w:p>
        </w:tc>
      </w:tr>
      <w:tr w:rsidR="00A860C2" w:rsidTr="00A860C2">
        <w:tc>
          <w:tcPr>
            <w:tcW w:w="8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0A" w:rsidRDefault="005A3F8C" w:rsidP="00D90D0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What is the trainee’s focus for the week?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e.g</w:t>
            </w:r>
            <w:proofErr w:type="gramEnd"/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. lesson 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observation focus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subject and curriculum knowledge, planning, assessment, etc.):</w:t>
            </w:r>
          </w:p>
          <w:p w:rsidR="00480BA3" w:rsidRDefault="00480BA3" w:rsidP="002F211E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480BA3" w:rsidRDefault="00480BA3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480BA3" w:rsidRDefault="002F211E" w:rsidP="002F211E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480BA3" w:rsidRDefault="00480BA3" w:rsidP="002F211E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Pr="001E7392" w:rsidRDefault="002F211E" w:rsidP="002F211E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90D0A" w:rsidRDefault="00D90D0A" w:rsidP="00D90D0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How have you responded 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 the St. Joseph’s College SCITT centralised training this week?</w:t>
            </w:r>
          </w:p>
          <w:p w:rsidR="00A860C2" w:rsidRDefault="00A860C2" w:rsidP="002F211E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A860C2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2F211E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860C2" w:rsidTr="00A860C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Pr="001E739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04990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Next training and teaching targets for development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(relate directly to the standards)</w:t>
            </w: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:rsidR="00A860C2" w:rsidRPr="001E7392" w:rsidRDefault="00D90D0A" w:rsidP="00D90D0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D90D0A" w:rsidRDefault="00D90D0A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90D0A" w:rsidRDefault="00D90D0A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90D0A" w:rsidRPr="00D90D0A" w:rsidRDefault="00D90D0A" w:rsidP="00D90D0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D90D0A" w:rsidRDefault="00D90D0A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90D0A" w:rsidRDefault="00D90D0A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D90D0A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D90D0A" w:rsidP="00D90D0A">
            <w:pPr>
              <w:numPr>
                <w:ilvl w:val="0"/>
                <w:numId w:val="1"/>
              </w:numPr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To…</w:t>
            </w:r>
          </w:p>
          <w:p w:rsidR="00A860C2" w:rsidRDefault="00A860C2" w:rsidP="00DF5732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04990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Actions to take to meet these targets</w:t>
            </w:r>
            <w:r w:rsidR="00D90D0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  <w:r w:rsidR="00D90D0A"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(make sure this is SMART)</w:t>
            </w:r>
            <w:r w:rsidRPr="001E739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D90D0A" w:rsidP="00A07C5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By… </w:t>
            </w:r>
          </w:p>
          <w:p w:rsidR="00D90D0A" w:rsidRDefault="00D90D0A" w:rsidP="00D90D0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D90D0A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D90D0A" w:rsidP="00A07C5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By…</w:t>
            </w:r>
          </w:p>
          <w:p w:rsidR="002F211E" w:rsidRDefault="002F211E" w:rsidP="00D90D0A">
            <w:pPr>
              <w:spacing w:line="360" w:lineRule="auto"/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A860C2" w:rsidRDefault="00D90D0A" w:rsidP="00A07C53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By…</w:t>
            </w:r>
          </w:p>
          <w:p w:rsidR="00A860C2" w:rsidRDefault="00A860C2" w:rsidP="00D90D0A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2F211E" w:rsidRDefault="002F211E" w:rsidP="00D90D0A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DF5732" w:rsidRDefault="00DF5732" w:rsidP="00D90D0A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A860C2" w:rsidTr="00A860C2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2" w:rsidRDefault="00A860C2" w:rsidP="00D90D0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Mentor signature:</w:t>
            </w:r>
          </w:p>
          <w:p w:rsidR="00DF5732" w:rsidRDefault="00DF5732" w:rsidP="00D90D0A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1E" w:rsidRDefault="00A860C2" w:rsidP="002F211E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Trainee signature:</w:t>
            </w:r>
          </w:p>
        </w:tc>
      </w:tr>
    </w:tbl>
    <w:p w:rsidR="00091554" w:rsidRDefault="00091554" w:rsidP="00DF5732"/>
    <w:sectPr w:rsidR="00091554" w:rsidSect="00DF5732">
      <w:pgSz w:w="11906" w:h="16838"/>
      <w:pgMar w:top="85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42D"/>
    <w:multiLevelType w:val="hybridMultilevel"/>
    <w:tmpl w:val="E1A2BF6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C2"/>
    <w:rsid w:val="00091554"/>
    <w:rsid w:val="000D14A1"/>
    <w:rsid w:val="000E551D"/>
    <w:rsid w:val="001E7392"/>
    <w:rsid w:val="002F211E"/>
    <w:rsid w:val="00480BA3"/>
    <w:rsid w:val="005A3F8C"/>
    <w:rsid w:val="00A860C2"/>
    <w:rsid w:val="00D0193E"/>
    <w:rsid w:val="00D04990"/>
    <w:rsid w:val="00D90D0A"/>
    <w:rsid w:val="00D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St Joseph's College</cp:lastModifiedBy>
  <cp:revision>2</cp:revision>
  <dcterms:created xsi:type="dcterms:W3CDTF">2019-07-08T13:04:00Z</dcterms:created>
  <dcterms:modified xsi:type="dcterms:W3CDTF">2019-07-08T13:04:00Z</dcterms:modified>
</cp:coreProperties>
</file>